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314" w:rsidRDefault="00EA4314" w:rsidP="00EA4314">
      <w:pPr>
        <w:pStyle w:val="2"/>
        <w:rPr>
          <w:b/>
          <w:bCs/>
        </w:rPr>
      </w:pPr>
      <w:bookmarkStart w:id="0" w:name="_Toc6320917"/>
      <w:bookmarkStart w:id="1" w:name="_Toc6324461"/>
      <w:r>
        <w:rPr>
          <w:b/>
          <w:bCs/>
        </w:rPr>
        <w:t>Влияние объема конструкции на тепловую напряженность</w:t>
      </w:r>
      <w:bookmarkEnd w:id="0"/>
      <w:bookmarkEnd w:id="1"/>
    </w:p>
    <w:p w:rsidR="00EA4314" w:rsidRDefault="00EA4314" w:rsidP="00EA4314">
      <w:pPr>
        <w:spacing w:line="360" w:lineRule="auto"/>
        <w:jc w:val="both"/>
        <w:rPr>
          <w:sz w:val="28"/>
        </w:rPr>
      </w:pP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 В зависимости от назначения, уровня интеграции и объекта установки объем и форма блоков РЭС могут быть различными: объем обычно меняется от одной десятой до  нескольких десятков кубических дециметров, а форма может быть плоской, кубической, прямоугольной или цилиндрической.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От этих двух параметров конструкций блоков в сильной степени зависят такие показатели качества, как допустимая удельная мощность рассеяния (тепловая напряженность) и </w:t>
      </w:r>
      <w:proofErr w:type="spellStart"/>
      <w:r>
        <w:rPr>
          <w:sz w:val="28"/>
        </w:rPr>
        <w:t>вибропрочность</w:t>
      </w:r>
      <w:proofErr w:type="spellEnd"/>
      <w:r>
        <w:rPr>
          <w:sz w:val="28"/>
        </w:rPr>
        <w:t xml:space="preserve">, во многом определяемая собственной частотой конструкции. Как качественно влияют первые на вторые, известно каждому конструктору; </w:t>
      </w:r>
      <w:proofErr w:type="spellStart"/>
      <w:r>
        <w:rPr>
          <w:sz w:val="28"/>
        </w:rPr>
        <w:t>конструктив</w:t>
      </w:r>
      <w:proofErr w:type="spellEnd"/>
      <w:r>
        <w:rPr>
          <w:sz w:val="28"/>
        </w:rPr>
        <w:t xml:space="preserve"> с меньшим объемом допускает большую тепловую напряженность, чем </w:t>
      </w:r>
      <w:proofErr w:type="spellStart"/>
      <w:r>
        <w:rPr>
          <w:sz w:val="28"/>
        </w:rPr>
        <w:t>конструктив</w:t>
      </w:r>
      <w:proofErr w:type="spellEnd"/>
      <w:r>
        <w:rPr>
          <w:sz w:val="28"/>
        </w:rPr>
        <w:t xml:space="preserve"> с большим объемом; </w:t>
      </w:r>
      <w:proofErr w:type="spellStart"/>
      <w:r>
        <w:rPr>
          <w:sz w:val="28"/>
        </w:rPr>
        <w:t>конструктив</w:t>
      </w:r>
      <w:proofErr w:type="spellEnd"/>
      <w:r>
        <w:rPr>
          <w:sz w:val="28"/>
        </w:rPr>
        <w:t xml:space="preserve"> более плоской формы </w:t>
      </w:r>
      <w:proofErr w:type="gramStart"/>
      <w:r>
        <w:rPr>
          <w:sz w:val="28"/>
        </w:rPr>
        <w:t>способен</w:t>
      </w:r>
      <w:proofErr w:type="gramEnd"/>
      <w:r>
        <w:rPr>
          <w:sz w:val="28"/>
        </w:rPr>
        <w:t xml:space="preserve"> выдержать большую мощность рассеяния, чем куб при равенстве объемов, а показатели </w:t>
      </w:r>
      <w:proofErr w:type="spellStart"/>
      <w:r>
        <w:rPr>
          <w:sz w:val="28"/>
        </w:rPr>
        <w:t>вибропрочности</w:t>
      </w:r>
      <w:proofErr w:type="spellEnd"/>
      <w:r>
        <w:rPr>
          <w:sz w:val="28"/>
        </w:rPr>
        <w:t xml:space="preserve"> при этом будут на много хуже. Это, казалось бы, можно подтвердить и с помощью формул. Например, удельная мощность рассеяния </w:t>
      </w:r>
      <w:r w:rsidRPr="006C1AFE">
        <w:rPr>
          <w:position w:val="-18"/>
          <w:sz w:val="28"/>
        </w:rPr>
        <w:object w:dxaOrig="17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25.5pt" o:ole="" fillcolor="window">
            <v:imagedata r:id="rId4" o:title=""/>
          </v:shape>
          <o:OLEObject Type="Embed" ProgID="Equation.3" ShapeID="_x0000_i1025" DrawAspect="Content" ObjectID="_1472132718" r:id="rId5"/>
        </w:object>
      </w:r>
      <w:r>
        <w:rPr>
          <w:sz w:val="28"/>
        </w:rPr>
        <w:t xml:space="preserve">должна зависеть обратно пропорционально от объема, и поэтому, если кристалл ИС с объемом </w:t>
      </w:r>
      <w:r w:rsidRPr="006C1AFE">
        <w:rPr>
          <w:position w:val="-6"/>
          <w:sz w:val="28"/>
        </w:rPr>
        <w:object w:dxaOrig="560" w:dyaOrig="320">
          <v:shape id="_x0000_i1026" type="#_x0000_t75" style="width:27.75pt;height:15.75pt" o:ole="" fillcolor="window">
            <v:imagedata r:id="rId6" o:title=""/>
          </v:shape>
          <o:OLEObject Type="Embed" ProgID="Equation.3" ShapeID="_x0000_i1026" DrawAspect="Content" ObjectID="_1472132719" r:id="rId7"/>
        </w:object>
      </w:r>
      <w:r>
        <w:rPr>
          <w:sz w:val="28"/>
        </w:rPr>
        <w:t xml:space="preserve"> способен рассеивать </w:t>
      </w:r>
      <w:r w:rsidRPr="006C1AFE">
        <w:rPr>
          <w:position w:val="-6"/>
          <w:sz w:val="28"/>
        </w:rPr>
        <w:object w:dxaOrig="800" w:dyaOrig="279">
          <v:shape id="_x0000_i1027" type="#_x0000_t75" style="width:39.75pt;height:14.25pt" o:ole="" fillcolor="window">
            <v:imagedata r:id="rId8" o:title=""/>
          </v:shape>
          <o:OLEObject Type="Embed" ProgID="Equation.3" ShapeID="_x0000_i1027" DrawAspect="Content" ObjectID="_1472132720" r:id="rId9"/>
        </w:object>
      </w:r>
      <w:r>
        <w:rPr>
          <w:sz w:val="28"/>
        </w:rPr>
        <w:t xml:space="preserve">, т.е. </w:t>
      </w:r>
      <w:r w:rsidRPr="006C1AFE">
        <w:rPr>
          <w:position w:val="-14"/>
          <w:sz w:val="28"/>
        </w:rPr>
        <w:object w:dxaOrig="2720" w:dyaOrig="400">
          <v:shape id="_x0000_i1028" type="#_x0000_t75" style="width:135.75pt;height:20.25pt" o:ole="" fillcolor="window">
            <v:imagedata r:id="rId10" o:title=""/>
          </v:shape>
          <o:OLEObject Type="Embed" ProgID="Equation.3" ShapeID="_x0000_i1028" DrawAspect="Content" ObjectID="_1472132721" r:id="rId11"/>
        </w:object>
      </w:r>
      <w:r>
        <w:rPr>
          <w:sz w:val="28"/>
        </w:rPr>
        <w:t xml:space="preserve">, то блок РЭС, имеющий объем </w:t>
      </w:r>
      <w:r w:rsidRPr="006C1AFE">
        <w:rPr>
          <w:position w:val="-10"/>
          <w:sz w:val="28"/>
        </w:rPr>
        <w:object w:dxaOrig="560" w:dyaOrig="360">
          <v:shape id="_x0000_i1029" type="#_x0000_t75" style="width:27.75pt;height:18pt" o:ole="" fillcolor="window">
            <v:imagedata r:id="rId12" o:title=""/>
          </v:shape>
          <o:OLEObject Type="Embed" ProgID="Equation.3" ShapeID="_x0000_i1029" DrawAspect="Content" ObjectID="_1472132722" r:id="rId13"/>
        </w:object>
      </w:r>
      <w:r>
        <w:rPr>
          <w:sz w:val="28"/>
        </w:rPr>
        <w:t xml:space="preserve">, т.е. в </w:t>
      </w:r>
      <w:r w:rsidRPr="006C1AFE">
        <w:rPr>
          <w:position w:val="-6"/>
          <w:sz w:val="28"/>
        </w:rPr>
        <w:object w:dxaOrig="360" w:dyaOrig="320">
          <v:shape id="_x0000_i1030" type="#_x0000_t75" style="width:18pt;height:15.75pt" o:ole="" fillcolor="window">
            <v:imagedata r:id="rId14" o:title=""/>
          </v:shape>
          <o:OLEObject Type="Embed" ProgID="Equation.3" ShapeID="_x0000_i1030" DrawAspect="Content" ObjectID="_1472132723" r:id="rId15"/>
        </w:object>
      </w:r>
      <w:r>
        <w:rPr>
          <w:sz w:val="28"/>
        </w:rPr>
        <w:t xml:space="preserve"> раз больший, должен иметь допустимую тепловую напряженность всего </w:t>
      </w:r>
      <w:r w:rsidRPr="006C1AFE">
        <w:rPr>
          <w:position w:val="-10"/>
          <w:sz w:val="28"/>
        </w:rPr>
        <w:object w:dxaOrig="1380" w:dyaOrig="360">
          <v:shape id="_x0000_i1031" type="#_x0000_t75" style="width:69pt;height:18pt" o:ole="" fillcolor="window">
            <v:imagedata r:id="rId16" o:title=""/>
          </v:shape>
          <o:OLEObject Type="Embed" ProgID="Equation.3" ShapeID="_x0000_i1031" DrawAspect="Content" ObjectID="_1472132724" r:id="rId17"/>
        </w:object>
      </w:r>
      <w:r>
        <w:rPr>
          <w:sz w:val="28"/>
        </w:rPr>
        <w:t xml:space="preserve">. Результаты же эксперимента дают значение этой величины </w:t>
      </w:r>
      <w:r w:rsidRPr="006C1AFE">
        <w:rPr>
          <w:position w:val="-10"/>
          <w:sz w:val="28"/>
        </w:rPr>
        <w:object w:dxaOrig="1180" w:dyaOrig="360">
          <v:shape id="_x0000_i1032" type="#_x0000_t75" style="width:59.25pt;height:18pt" o:ole="" fillcolor="window">
            <v:imagedata r:id="rId18" o:title=""/>
          </v:shape>
          <o:OLEObject Type="Embed" ProgID="Equation.3" ShapeID="_x0000_i1032" DrawAspect="Content" ObjectID="_1472132725" r:id="rId19"/>
        </w:object>
      </w:r>
      <w:r>
        <w:rPr>
          <w:sz w:val="28"/>
        </w:rPr>
        <w:t>, т.е. в 250 раз больше. Значит, формальный расчет по указанной формуле нереален, ошибочен.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Поэтому для конкретных конструкторских разработок необходимо иметь более строгие количественные оценки этого влияния, учитывающие все факторы, в том числе и форму блоков.</w:t>
      </w:r>
    </w:p>
    <w:p w:rsidR="00EA4314" w:rsidRDefault="00EA4314" w:rsidP="00EA4314">
      <w:pPr>
        <w:rPr>
          <w:sz w:val="28"/>
        </w:rPr>
      </w:pPr>
    </w:p>
    <w:p w:rsidR="00EA4314" w:rsidRDefault="00EA4314" w:rsidP="00EA4314">
      <w:pPr>
        <w:pStyle w:val="2"/>
        <w:rPr>
          <w:b/>
          <w:bCs/>
        </w:rPr>
      </w:pPr>
      <w:bookmarkStart w:id="2" w:name="_Toc6320918"/>
      <w:bookmarkStart w:id="3" w:name="_Toc6324462"/>
      <w:r>
        <w:rPr>
          <w:b/>
          <w:bCs/>
        </w:rPr>
        <w:t>Влияние формы конструкции на тепловую напряженность</w:t>
      </w:r>
      <w:bookmarkEnd w:id="2"/>
      <w:bookmarkEnd w:id="3"/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Оценим влияние объема блока на удельную мощность рассеяния, считая для простоты выводов форму блока со стороной </w:t>
      </w:r>
      <w:r w:rsidRPr="006C1AFE">
        <w:rPr>
          <w:position w:val="-12"/>
          <w:sz w:val="28"/>
        </w:rPr>
        <w:object w:dxaOrig="279" w:dyaOrig="360">
          <v:shape id="_x0000_i1033" type="#_x0000_t75" style="width:19.5pt;height:25.5pt" o:ole="" fillcolor="window">
            <v:imagedata r:id="rId20" o:title=""/>
          </v:shape>
          <o:OLEObject Type="Embed" ProgID="Equation.3" ShapeID="_x0000_i1033" DrawAspect="Content" ObjectID="_1472132726" r:id="rId21"/>
        </w:object>
      </w:r>
      <w:r>
        <w:rPr>
          <w:sz w:val="28"/>
        </w:rPr>
        <w:t xml:space="preserve"> кубической. </w:t>
      </w:r>
      <w:proofErr w:type="gramStart"/>
      <w:r>
        <w:rPr>
          <w:sz w:val="28"/>
        </w:rPr>
        <w:t xml:space="preserve">Изменение стороны куба в </w:t>
      </w:r>
      <w:r w:rsidRPr="006C1AFE">
        <w:rPr>
          <w:position w:val="-10"/>
          <w:sz w:val="28"/>
        </w:rPr>
        <w:object w:dxaOrig="240" w:dyaOrig="340">
          <v:shape id="_x0000_i1034" type="#_x0000_t75" style="width:16.5pt;height:22.5pt" o:ole="" fillcolor="window">
            <v:imagedata r:id="rId22" o:title=""/>
          </v:shape>
          <o:OLEObject Type="Embed" ProgID="Equation.3" ShapeID="_x0000_i1034" DrawAspect="Content" ObjectID="_1472132727" r:id="rId23"/>
        </w:object>
      </w:r>
      <w:r>
        <w:rPr>
          <w:sz w:val="28"/>
        </w:rPr>
        <w:t xml:space="preserve"> приведет к изменению его объема в </w:t>
      </w:r>
      <w:r w:rsidRPr="006C1AFE">
        <w:rPr>
          <w:position w:val="-10"/>
          <w:sz w:val="28"/>
        </w:rPr>
        <w:object w:dxaOrig="279" w:dyaOrig="360">
          <v:shape id="_x0000_i1035" type="#_x0000_t75" style="width:17.25pt;height:22.5pt" o:ole="" fillcolor="window">
            <v:imagedata r:id="rId24" o:title=""/>
          </v:shape>
          <o:OLEObject Type="Embed" ProgID="Equation.3" ShapeID="_x0000_i1035" DrawAspect="Content" ObjectID="_1472132728" r:id="rId25"/>
        </w:object>
      </w:r>
      <w:r>
        <w:rPr>
          <w:sz w:val="28"/>
        </w:rPr>
        <w:t>раз.</w:t>
      </w:r>
      <w:proofErr w:type="gramEnd"/>
      <w:r>
        <w:rPr>
          <w:sz w:val="28"/>
        </w:rPr>
        <w:t xml:space="preserve"> Поскольку площадь поверхности куба </w:t>
      </w:r>
      <w:r w:rsidRPr="006C1AFE">
        <w:rPr>
          <w:position w:val="-12"/>
          <w:sz w:val="28"/>
        </w:rPr>
        <w:object w:dxaOrig="820" w:dyaOrig="380">
          <v:shape id="_x0000_i1036" type="#_x0000_t75" style="width:48.75pt;height:22.5pt" o:ole="" fillcolor="window">
            <v:imagedata r:id="rId26" o:title=""/>
          </v:shape>
          <o:OLEObject Type="Embed" ProgID="Equation.3" ShapeID="_x0000_i1036" DrawAspect="Content" ObjectID="_1472132729" r:id="rId27"/>
        </w:object>
      </w:r>
      <w:r>
        <w:rPr>
          <w:sz w:val="28"/>
        </w:rPr>
        <w:t xml:space="preserve">, а объем </w:t>
      </w:r>
      <w:r w:rsidRPr="006C1AFE">
        <w:rPr>
          <w:position w:val="-12"/>
          <w:sz w:val="28"/>
        </w:rPr>
        <w:object w:dxaOrig="700" w:dyaOrig="380">
          <v:shape id="_x0000_i1037" type="#_x0000_t75" style="width:42pt;height:22.5pt" o:ole="" fillcolor="window">
            <v:imagedata r:id="rId28" o:title=""/>
          </v:shape>
          <o:OLEObject Type="Embed" ProgID="Equation.3" ShapeID="_x0000_i1037" DrawAspect="Content" ObjectID="_1472132730" r:id="rId29"/>
        </w:object>
      </w:r>
      <w:r>
        <w:rPr>
          <w:sz w:val="28"/>
        </w:rPr>
        <w:t>, то удельная мощность рассеяния</w:t>
      </w:r>
    </w:p>
    <w:p w:rsidR="00EA4314" w:rsidRDefault="00EA4314" w:rsidP="00EA4314">
      <w:pPr>
        <w:jc w:val="center"/>
        <w:rPr>
          <w:sz w:val="28"/>
        </w:rPr>
      </w:pPr>
      <w:r w:rsidRPr="006C1AFE">
        <w:rPr>
          <w:position w:val="-30"/>
          <w:sz w:val="28"/>
        </w:rPr>
        <w:object w:dxaOrig="3980" w:dyaOrig="680">
          <v:shape id="_x0000_i1038" type="#_x0000_t75" style="width:227.25pt;height:39pt" o:ole="" fillcolor="window">
            <v:imagedata r:id="rId30" o:title=""/>
          </v:shape>
          <o:OLEObject Type="Embed" ProgID="Equation.3" ShapeID="_x0000_i1038" DrawAspect="Content" ObjectID="_1472132731" r:id="rId31"/>
        </w:object>
      </w:r>
      <w:r>
        <w:rPr>
          <w:sz w:val="28"/>
        </w:rPr>
        <w:t>,</w:t>
      </w:r>
    </w:p>
    <w:p w:rsidR="00EA4314" w:rsidRDefault="00EA4314" w:rsidP="00EA4314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где     </w:t>
      </w:r>
      <w:r w:rsidRPr="006C1AFE">
        <w:rPr>
          <w:position w:val="-10"/>
          <w:sz w:val="28"/>
        </w:rPr>
        <w:object w:dxaOrig="300" w:dyaOrig="340">
          <v:shape id="_x0000_i1039" type="#_x0000_t75" style="width:19.5pt;height:22.5pt" o:ole="" fillcolor="window">
            <v:imagedata r:id="rId32" o:title=""/>
          </v:shape>
          <o:OLEObject Type="Embed" ProgID="Equation.3" ShapeID="_x0000_i1039" DrawAspect="Content" ObjectID="_1472132732" r:id="rId33"/>
        </w:object>
      </w:r>
      <w:r>
        <w:rPr>
          <w:sz w:val="28"/>
        </w:rPr>
        <w:t xml:space="preserve">, </w:t>
      </w:r>
      <w:r w:rsidRPr="006C1AFE">
        <w:rPr>
          <w:position w:val="-12"/>
          <w:sz w:val="28"/>
        </w:rPr>
        <w:object w:dxaOrig="300" w:dyaOrig="360">
          <v:shape id="_x0000_i1040" type="#_x0000_t75" style="width:18.75pt;height:22.5pt" o:ole="" fillcolor="window">
            <v:imagedata r:id="rId34" o:title=""/>
          </v:shape>
          <o:OLEObject Type="Embed" ProgID="Equation.3" ShapeID="_x0000_i1040" DrawAspect="Content" ObjectID="_1472132733" r:id="rId35"/>
        </w:object>
      </w:r>
      <w:r>
        <w:rPr>
          <w:sz w:val="28"/>
        </w:rPr>
        <w:t>- коэффициенты теплопередачи конвекцией и лучеиспусканием от блока в среду;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 w:rsidRPr="006C1AFE">
        <w:rPr>
          <w:position w:val="-6"/>
          <w:sz w:val="28"/>
        </w:rPr>
        <w:object w:dxaOrig="300" w:dyaOrig="279">
          <v:shape id="_x0000_i1041" type="#_x0000_t75" style="width:18.75pt;height:17.25pt" o:ole="" fillcolor="window">
            <v:imagedata r:id="rId36" o:title=""/>
          </v:shape>
          <o:OLEObject Type="Embed" ProgID="Equation.3" ShapeID="_x0000_i1041" DrawAspect="Content" ObjectID="_1472132734" r:id="rId37"/>
        </w:object>
      </w:r>
      <w:r>
        <w:rPr>
          <w:sz w:val="28"/>
        </w:rPr>
        <w:t>- перегрев корпуса блока.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Если принять какой-либо объем блока за номинальный, например </w:t>
      </w:r>
      <w:r w:rsidRPr="006C1AFE">
        <w:rPr>
          <w:position w:val="-14"/>
          <w:sz w:val="28"/>
        </w:rPr>
        <w:object w:dxaOrig="820" w:dyaOrig="400">
          <v:shape id="_x0000_i1042" type="#_x0000_t75" style="width:46.5pt;height:22.5pt" o:ole="" fillcolor="window">
            <v:imagedata r:id="rId38" o:title=""/>
          </v:shape>
          <o:OLEObject Type="Embed" ProgID="Equation.3" ShapeID="_x0000_i1042" DrawAspect="Content" ObjectID="_1472132735" r:id="rId39"/>
        </w:object>
      </w:r>
      <w:r>
        <w:rPr>
          <w:sz w:val="28"/>
        </w:rPr>
        <w:t xml:space="preserve">, и по отношению к нему оценить изменение (вариацию) удельной мощности рассеяния </w:t>
      </w:r>
      <w:r w:rsidRPr="006C1AFE">
        <w:rPr>
          <w:position w:val="-10"/>
          <w:sz w:val="28"/>
        </w:rPr>
        <w:object w:dxaOrig="320" w:dyaOrig="340">
          <v:shape id="_x0000_i1043" type="#_x0000_t75" style="width:21pt;height:22.5pt" o:ole="" fillcolor="window">
            <v:imagedata r:id="rId40" o:title=""/>
          </v:shape>
          <o:OLEObject Type="Embed" ProgID="Equation.3" ShapeID="_x0000_i1043" DrawAspect="Content" ObjectID="_1472132736" r:id="rId41"/>
        </w:object>
      </w:r>
      <w:r>
        <w:rPr>
          <w:sz w:val="28"/>
        </w:rPr>
        <w:t>при изменении (вариации) объема</w:t>
      </w:r>
      <w:r w:rsidRPr="006C1AFE">
        <w:rPr>
          <w:position w:val="-12"/>
          <w:sz w:val="28"/>
        </w:rPr>
        <w:object w:dxaOrig="340" w:dyaOrig="360">
          <v:shape id="_x0000_i1044" type="#_x0000_t75" style="width:22.5pt;height:24pt" o:ole="" fillcolor="window">
            <v:imagedata r:id="rId42" o:title=""/>
          </v:shape>
          <o:OLEObject Type="Embed" ProgID="Equation.3" ShapeID="_x0000_i1044" DrawAspect="Content" ObjectID="_1472132737" r:id="rId43"/>
        </w:object>
      </w:r>
      <w:r>
        <w:rPr>
          <w:sz w:val="28"/>
        </w:rPr>
        <w:t xml:space="preserve">(в </w:t>
      </w:r>
      <w:r w:rsidRPr="006C1AFE">
        <w:rPr>
          <w:position w:val="-10"/>
          <w:sz w:val="28"/>
        </w:rPr>
        <w:object w:dxaOrig="279" w:dyaOrig="360">
          <v:shape id="_x0000_i1045" type="#_x0000_t75" style="width:17.25pt;height:22.5pt" o:ole="" fillcolor="window">
            <v:imagedata r:id="rId24" o:title=""/>
          </v:shape>
          <o:OLEObject Type="Embed" ProgID="Equation.3" ShapeID="_x0000_i1045" DrawAspect="Content" ObjectID="_1472132738" r:id="rId44"/>
        </w:object>
      </w:r>
      <w:r>
        <w:rPr>
          <w:sz w:val="28"/>
        </w:rPr>
        <w:t xml:space="preserve">раз) для </w:t>
      </w:r>
      <w:r w:rsidRPr="006C1AFE">
        <w:rPr>
          <w:position w:val="-6"/>
          <w:sz w:val="28"/>
        </w:rPr>
        <w:object w:dxaOrig="139" w:dyaOrig="260">
          <v:shape id="_x0000_i1046" type="#_x0000_t75" style="width:7.5pt;height:17.25pt;flip:x" o:ole="" fillcolor="window">
            <v:imagedata r:id="rId45" o:title=""/>
          </v:shape>
          <o:OLEObject Type="Embed" ProgID="Equation.3" ShapeID="_x0000_i1046" DrawAspect="Content" ObjectID="_1472132739" r:id="rId46"/>
        </w:object>
      </w:r>
      <w:r>
        <w:rPr>
          <w:sz w:val="28"/>
        </w:rPr>
        <w:t>- го варианта, то такая оценка может быть проведена по следующей формуле</w:t>
      </w:r>
      <w:proofErr w:type="gramEnd"/>
    </w:p>
    <w:p w:rsidR="00EA4314" w:rsidRDefault="00EA4314" w:rsidP="00EA4314">
      <w:pPr>
        <w:ind w:left="720" w:firstLine="720"/>
        <w:jc w:val="both"/>
        <w:rPr>
          <w:sz w:val="28"/>
        </w:rPr>
      </w:pPr>
      <w:r w:rsidRPr="006C1AFE">
        <w:rPr>
          <w:position w:val="-34"/>
          <w:sz w:val="28"/>
          <w:lang w:val="en-US"/>
        </w:rPr>
        <w:object w:dxaOrig="5260" w:dyaOrig="760">
          <v:shape id="_x0000_i1047" type="#_x0000_t75" style="width:310.5pt;height:45.75pt" o:ole="" fillcolor="window">
            <v:imagedata r:id="rId47" o:title=""/>
          </v:shape>
          <o:OLEObject Type="Embed" ProgID="Equation.3" ShapeID="_x0000_i1047" DrawAspect="Content" ObjectID="_1472132740" r:id="rId48"/>
        </w:object>
      </w:r>
      <w:r>
        <w:rPr>
          <w:sz w:val="28"/>
        </w:rPr>
        <w:t>,</w:t>
      </w:r>
      <w:r>
        <w:rPr>
          <w:sz w:val="28"/>
        </w:rPr>
        <w:tab/>
        <w:t xml:space="preserve">      (2.1) </w:t>
      </w:r>
    </w:p>
    <w:p w:rsidR="00EA4314" w:rsidRDefault="00EA4314" w:rsidP="00EA4314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где </w:t>
      </w:r>
      <w:r w:rsidRPr="006C1AFE">
        <w:rPr>
          <w:position w:val="-14"/>
          <w:sz w:val="28"/>
        </w:rPr>
        <w:object w:dxaOrig="340" w:dyaOrig="380">
          <v:shape id="_x0000_i1048" type="#_x0000_t75" style="width:23.25pt;height:25.5pt" o:ole="" fillcolor="window">
            <v:imagedata r:id="rId49" o:title=""/>
          </v:shape>
          <o:OLEObject Type="Embed" ProgID="Equation.3" ShapeID="_x0000_i1048" DrawAspect="Content" ObjectID="_1472132741" r:id="rId50"/>
        </w:object>
      </w:r>
      <w:r>
        <w:rPr>
          <w:sz w:val="28"/>
        </w:rPr>
        <w:t xml:space="preserve">, </w:t>
      </w:r>
      <w:r w:rsidRPr="006C1AFE">
        <w:rPr>
          <w:position w:val="-14"/>
          <w:sz w:val="28"/>
        </w:rPr>
        <w:object w:dxaOrig="1060" w:dyaOrig="380">
          <v:shape id="_x0000_i1049" type="#_x0000_t75" style="width:69.75pt;height:25.5pt" o:ole="" fillcolor="window">
            <v:imagedata r:id="rId51" o:title=""/>
          </v:shape>
          <o:OLEObject Type="Embed" ProgID="Equation.3" ShapeID="_x0000_i1049" DrawAspect="Content" ObjectID="_1472132742" r:id="rId52"/>
        </w:object>
      </w:r>
      <w:r>
        <w:rPr>
          <w:sz w:val="28"/>
        </w:rPr>
        <w:t xml:space="preserve">- стороны куба номинального объема </w:t>
      </w:r>
      <w:r w:rsidRPr="006C1AFE">
        <w:rPr>
          <w:position w:val="-6"/>
          <w:sz w:val="28"/>
        </w:rPr>
        <w:object w:dxaOrig="139" w:dyaOrig="260">
          <v:shape id="_x0000_i1050" type="#_x0000_t75" style="width:7.5pt;height:17.25pt;flip:x" o:ole="" fillcolor="window">
            <v:imagedata r:id="rId45" o:title=""/>
          </v:shape>
          <o:OLEObject Type="Embed" ProgID="Equation.3" ShapeID="_x0000_i1050" DrawAspect="Content" ObjectID="_1472132743" r:id="rId53"/>
        </w:object>
      </w:r>
      <w:r>
        <w:rPr>
          <w:sz w:val="28"/>
        </w:rPr>
        <w:t>- го варианта.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С изменением стороны куба (определяющего размера) коэффициент лучеиспускания не меняется; коэффициент конвекции для закона степени </w:t>
      </w:r>
      <w:r w:rsidRPr="006C1AFE">
        <w:rPr>
          <w:position w:val="-10"/>
          <w:sz w:val="28"/>
        </w:rPr>
        <w:object w:dxaOrig="360" w:dyaOrig="340">
          <v:shape id="_x0000_i1051" type="#_x0000_t75" style="width:18pt;height:17.25pt" o:ole="" fillcolor="window">
            <v:imagedata r:id="rId54" o:title=""/>
          </v:shape>
          <o:OLEObject Type="Embed" ProgID="Equation.3" ShapeID="_x0000_i1051" DrawAspect="Content" ObjectID="_1472132744" r:id="rId55"/>
        </w:object>
      </w:r>
      <w:r>
        <w:rPr>
          <w:sz w:val="28"/>
        </w:rPr>
        <w:t xml:space="preserve">, как показывают расчеты, меняется незначительно (5…10%), а для закона степени </w:t>
      </w:r>
      <w:r w:rsidRPr="006C1AFE">
        <w:rPr>
          <w:position w:val="-10"/>
          <w:sz w:val="28"/>
        </w:rPr>
        <w:object w:dxaOrig="340" w:dyaOrig="340">
          <v:shape id="_x0000_i1052" type="#_x0000_t75" style="width:17.25pt;height:17.25pt" o:ole="" fillcolor="window">
            <v:imagedata r:id="rId56" o:title=""/>
          </v:shape>
          <o:OLEObject Type="Embed" ProgID="Equation.3" ShapeID="_x0000_i1052" DrawAspect="Content" ObjectID="_1472132745" r:id="rId57"/>
        </w:object>
      </w:r>
      <w:r>
        <w:rPr>
          <w:sz w:val="28"/>
        </w:rPr>
        <w:t xml:space="preserve"> не меняется. Поэтому выражение (2.1) можно записать в виде</w:t>
      </w:r>
    </w:p>
    <w:p w:rsidR="00EA4314" w:rsidRDefault="00EA4314" w:rsidP="00EA4314">
      <w:pPr>
        <w:spacing w:line="360" w:lineRule="auto"/>
        <w:ind w:left="2880" w:firstLine="720"/>
        <w:jc w:val="both"/>
        <w:rPr>
          <w:sz w:val="28"/>
        </w:rPr>
      </w:pPr>
      <w:r w:rsidRPr="006C1AFE">
        <w:rPr>
          <w:position w:val="-10"/>
          <w:sz w:val="28"/>
        </w:rPr>
        <w:object w:dxaOrig="960" w:dyaOrig="340">
          <v:shape id="_x0000_i1053" type="#_x0000_t75" style="width:63.75pt;height:22.5pt" o:ole="" fillcolor="window">
            <v:imagedata r:id="rId58" o:title=""/>
          </v:shape>
          <o:OLEObject Type="Embed" ProgID="Equation.3" ShapeID="_x0000_i1053" DrawAspect="Content" ObjectID="_1472132746" r:id="rId59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При изменении объема в 10 раз в сторону увеличения или уменьшения удельная мощность рассеяния, и том числе и допустимая, изменяется лишь в два раза (а не в 10 раз) в обратную сторону. Этим и объясняется ошибка в оценке возможных изменений допустимой тепловой напряженности по общей фор муле, так как главным фактором является не сам объем, а отношение площади теплопередачи к объему, т.е.</w:t>
      </w:r>
      <w:r w:rsidRPr="006C1AFE">
        <w:rPr>
          <w:position w:val="-10"/>
          <w:sz w:val="28"/>
        </w:rPr>
        <w:object w:dxaOrig="480" w:dyaOrig="340">
          <v:shape id="_x0000_i1054" type="#_x0000_t75" style="width:32.25pt;height:22.5pt" o:ole="" fillcolor="window">
            <v:imagedata r:id="rId60" o:title=""/>
          </v:shape>
          <o:OLEObject Type="Embed" ProgID="Equation.3" ShapeID="_x0000_i1054" DrawAspect="Content" ObjectID="_1472132747" r:id="rId61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Оценим количественное влияние формы блока на удельную мощность рассеяния. Для этого кубическую форму блока будем либо “вытягивать” в столбик, либо “сжимать” в более плоскую (планарную) пластину. Второй случай на практике более реален, причем пластина может иметь как квадратную, так и прямоугольную формы. Для простоты выводов выберем квадратную форму плоского блока – панель. Введем понятие коэффициента планарности, отражающего степень плоскости конструкции, как</w:t>
      </w:r>
    </w:p>
    <w:p w:rsidR="00EA4314" w:rsidRDefault="00EA4314" w:rsidP="00EA4314">
      <w:pPr>
        <w:spacing w:line="360" w:lineRule="auto"/>
        <w:ind w:left="2880" w:firstLine="720"/>
        <w:jc w:val="both"/>
        <w:rPr>
          <w:sz w:val="28"/>
        </w:rPr>
      </w:pPr>
      <w:r>
        <w:rPr>
          <w:sz w:val="28"/>
        </w:rPr>
        <w:t xml:space="preserve"> </w:t>
      </w:r>
      <w:r w:rsidRPr="006C1AFE">
        <w:rPr>
          <w:position w:val="-18"/>
          <w:sz w:val="28"/>
        </w:rPr>
        <w:object w:dxaOrig="1020" w:dyaOrig="540">
          <v:shape id="_x0000_i1055" type="#_x0000_t75" style="width:59.25pt;height:31.5pt" o:ole="" fillcolor="window">
            <v:imagedata r:id="rId62" o:title=""/>
          </v:shape>
          <o:OLEObject Type="Embed" ProgID="Equation.3" ShapeID="_x0000_i1055" DrawAspect="Content" ObjectID="_1472132748" r:id="rId63"/>
        </w:object>
      </w:r>
      <w:r>
        <w:rPr>
          <w:sz w:val="28"/>
        </w:rPr>
        <w:t xml:space="preserve">, 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 w:rsidRPr="006C1AFE">
        <w:rPr>
          <w:position w:val="-10"/>
          <w:sz w:val="28"/>
        </w:rPr>
        <w:object w:dxaOrig="180" w:dyaOrig="340">
          <v:shape id="_x0000_i1056" type="#_x0000_t75" style="width:9pt;height:17.25pt" o:ole="" fillcolor="window">
            <v:imagedata r:id="rId64" o:title=""/>
          </v:shape>
          <o:OLEObject Type="Embed" ProgID="Equation.3" ShapeID="_x0000_i1056" DrawAspect="Content" ObjectID="_1472132749" r:id="rId65"/>
        </w:object>
      </w:r>
      <w:r>
        <w:rPr>
          <w:sz w:val="28"/>
        </w:rPr>
        <w:t xml:space="preserve"> </w:t>
      </w:r>
      <w:r w:rsidRPr="006C1AFE">
        <w:rPr>
          <w:position w:val="-12"/>
          <w:sz w:val="28"/>
        </w:rPr>
        <w:object w:dxaOrig="279" w:dyaOrig="360">
          <v:shape id="_x0000_i1057" type="#_x0000_t75" style="width:17.25pt;height:22.5pt" o:ole="" fillcolor="window">
            <v:imagedata r:id="rId66" o:title=""/>
          </v:shape>
          <o:OLEObject Type="Embed" ProgID="Equation.3" ShapeID="_x0000_i1057" DrawAspect="Content" ObjectID="_1472132750" r:id="rId67"/>
        </w:object>
      </w:r>
      <w:r>
        <w:rPr>
          <w:sz w:val="28"/>
        </w:rPr>
        <w:t>- сторона куба,</w:t>
      </w:r>
    </w:p>
    <w:p w:rsidR="00EA4314" w:rsidRDefault="00EA4314" w:rsidP="00EA4314">
      <w:pPr>
        <w:spacing w:line="360" w:lineRule="auto"/>
        <w:ind w:left="720" w:firstLine="720"/>
        <w:jc w:val="both"/>
        <w:rPr>
          <w:sz w:val="28"/>
        </w:rPr>
      </w:pPr>
      <w:r w:rsidRPr="006C1AFE">
        <w:rPr>
          <w:position w:val="-6"/>
          <w:sz w:val="28"/>
        </w:rPr>
        <w:object w:dxaOrig="240" w:dyaOrig="279">
          <v:shape id="_x0000_i1058" type="#_x0000_t75" style="width:14.25pt;height:15.75pt" o:ole="" fillcolor="window">
            <v:imagedata r:id="rId68" o:title=""/>
          </v:shape>
          <o:OLEObject Type="Embed" ProgID="Equation.3" ShapeID="_x0000_i1058" DrawAspect="Content" ObjectID="_1472132751" r:id="rId69"/>
        </w:object>
      </w:r>
      <w:r>
        <w:rPr>
          <w:sz w:val="28"/>
        </w:rPr>
        <w:t xml:space="preserve"> - высота панели. 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При этом объемы куба и панели равны. Откуда</w:t>
      </w:r>
    </w:p>
    <w:p w:rsidR="00EA4314" w:rsidRDefault="00EA4314" w:rsidP="00EA4314">
      <w:pPr>
        <w:spacing w:line="360" w:lineRule="auto"/>
        <w:ind w:left="2160" w:firstLine="720"/>
        <w:jc w:val="both"/>
        <w:rPr>
          <w:sz w:val="28"/>
        </w:rPr>
      </w:pPr>
      <w:r w:rsidRPr="006C1AFE">
        <w:rPr>
          <w:position w:val="-12"/>
          <w:sz w:val="28"/>
        </w:rPr>
        <w:object w:dxaOrig="1120" w:dyaOrig="360">
          <v:shape id="_x0000_i1059" type="#_x0000_t75" style="width:63pt;height:21pt" o:ole="" fillcolor="window">
            <v:imagedata r:id="rId70" o:title=""/>
          </v:shape>
          <o:OLEObject Type="Embed" ProgID="Equation.3" ShapeID="_x0000_i1059" DrawAspect="Content" ObjectID="_1472132752" r:id="rId71"/>
        </w:object>
      </w:r>
      <w:r>
        <w:rPr>
          <w:sz w:val="28"/>
        </w:rPr>
        <w:t xml:space="preserve"> и </w:t>
      </w:r>
      <w:r w:rsidRPr="006C1AFE">
        <w:rPr>
          <w:position w:val="-24"/>
          <w:sz w:val="28"/>
        </w:rPr>
        <w:object w:dxaOrig="999" w:dyaOrig="600">
          <v:shape id="_x0000_i1060" type="#_x0000_t75" style="width:57pt;height:34.5pt" o:ole="" fillcolor="window">
            <v:imagedata r:id="rId72" o:title=""/>
          </v:shape>
          <o:OLEObject Type="Embed" ProgID="Equation.3" ShapeID="_x0000_i1060" DrawAspect="Content" ObjectID="_1472132753" r:id="rId73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Поскольку </w:t>
      </w:r>
      <w:r w:rsidRPr="006C1AFE">
        <w:rPr>
          <w:position w:val="-12"/>
          <w:sz w:val="28"/>
        </w:rPr>
        <w:object w:dxaOrig="760" w:dyaOrig="360">
          <v:shape id="_x0000_i1061" type="#_x0000_t75" style="width:44.25pt;height:21pt" o:ole="" fillcolor="window">
            <v:imagedata r:id="rId74" o:title=""/>
          </v:shape>
          <o:OLEObject Type="Embed" ProgID="Equation.3" ShapeID="_x0000_i1061" DrawAspect="Content" ObjectID="_1472132754" r:id="rId75"/>
        </w:object>
      </w:r>
      <w:r>
        <w:rPr>
          <w:sz w:val="28"/>
        </w:rPr>
        <w:t xml:space="preserve">, то при увеличении коэффициента планарности должна возрасти допустимая мощность рассеяния в блоке, так как с большей </w:t>
      </w:r>
      <w:r>
        <w:rPr>
          <w:sz w:val="28"/>
        </w:rPr>
        <w:lastRenderedPageBreak/>
        <w:t>площади теплоотдачи в среду может быть передана большая мощность рассеяния.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Оценим это количественно. Обозначим увеличение стороны верхней грани панели </w:t>
      </w:r>
      <w:proofErr w:type="gramStart"/>
      <w:r>
        <w:rPr>
          <w:sz w:val="28"/>
        </w:rPr>
        <w:t>через</w:t>
      </w:r>
      <w:proofErr w:type="gramEnd"/>
      <w:r>
        <w:rPr>
          <w:sz w:val="28"/>
        </w:rPr>
        <w:t xml:space="preserve">  </w:t>
      </w:r>
      <w:r w:rsidRPr="006C1AFE">
        <w:rPr>
          <w:position w:val="-24"/>
          <w:sz w:val="28"/>
        </w:rPr>
        <w:object w:dxaOrig="1060" w:dyaOrig="620">
          <v:shape id="_x0000_i1062" type="#_x0000_t75" style="width:60.75pt;height:35.25pt" o:ole="" fillcolor="window">
            <v:imagedata r:id="rId76" o:title=""/>
          </v:shape>
          <o:OLEObject Type="Embed" ProgID="Equation.3" ShapeID="_x0000_i1062" DrawAspect="Content" ObjectID="_1472132755" r:id="rId77"/>
        </w:object>
      </w:r>
      <w:r>
        <w:rPr>
          <w:sz w:val="28"/>
        </w:rPr>
        <w:t xml:space="preserve">. Тогда </w:t>
      </w:r>
      <w:proofErr w:type="gramStart"/>
      <w:r>
        <w:rPr>
          <w:sz w:val="28"/>
        </w:rPr>
        <w:t>общая</w:t>
      </w:r>
      <w:proofErr w:type="gramEnd"/>
      <w:r>
        <w:rPr>
          <w:sz w:val="28"/>
        </w:rPr>
        <w:t xml:space="preserve"> площадь теплоотдачи панели</w:t>
      </w:r>
    </w:p>
    <w:p w:rsidR="00EA4314" w:rsidRDefault="00EA4314" w:rsidP="00EA4314">
      <w:pPr>
        <w:jc w:val="center"/>
        <w:rPr>
          <w:sz w:val="28"/>
        </w:rPr>
      </w:pPr>
      <w:r w:rsidRPr="006C1AFE">
        <w:rPr>
          <w:position w:val="-32"/>
          <w:sz w:val="28"/>
        </w:rPr>
        <w:object w:dxaOrig="5720" w:dyaOrig="760">
          <v:shape id="_x0000_i1063" type="#_x0000_t75" style="width:329.25pt;height:43.5pt" o:ole="" fillcolor="window">
            <v:imagedata r:id="rId78" o:title=""/>
          </v:shape>
          <o:OLEObject Type="Embed" ProgID="Equation.3" ShapeID="_x0000_i1063" DrawAspect="Content" ObjectID="_1472132756" r:id="rId79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outlineLvl w:val="0"/>
        <w:rPr>
          <w:sz w:val="28"/>
        </w:rPr>
      </w:pPr>
      <w:r>
        <w:rPr>
          <w:sz w:val="28"/>
        </w:rPr>
        <w:t xml:space="preserve">Из равенства объемов находим, что </w:t>
      </w:r>
    </w:p>
    <w:p w:rsidR="00EA4314" w:rsidRDefault="00EA4314" w:rsidP="00EA4314">
      <w:pPr>
        <w:spacing w:line="360" w:lineRule="auto"/>
        <w:ind w:left="2160" w:firstLine="720"/>
        <w:jc w:val="both"/>
        <w:rPr>
          <w:sz w:val="28"/>
        </w:rPr>
      </w:pPr>
      <w:r w:rsidRPr="006C1AFE">
        <w:rPr>
          <w:position w:val="-26"/>
          <w:sz w:val="28"/>
        </w:rPr>
        <w:object w:dxaOrig="1680" w:dyaOrig="639">
          <v:shape id="_x0000_i1064" type="#_x0000_t75" style="width:96.75pt;height:36.75pt" o:ole="" fillcolor="window">
            <v:imagedata r:id="rId80" o:title=""/>
          </v:shape>
          <o:OLEObject Type="Embed" ProgID="Equation.3" ShapeID="_x0000_i1064" DrawAspect="Content" ObjectID="_1472132757" r:id="rId81"/>
        </w:object>
      </w:r>
      <w:r>
        <w:rPr>
          <w:sz w:val="28"/>
        </w:rPr>
        <w:t xml:space="preserve"> и </w:t>
      </w:r>
      <w:r w:rsidRPr="006C1AFE">
        <w:rPr>
          <w:position w:val="-12"/>
          <w:sz w:val="28"/>
        </w:rPr>
        <w:object w:dxaOrig="760" w:dyaOrig="380">
          <v:shape id="_x0000_i1065" type="#_x0000_t75" style="width:43.5pt;height:21.75pt" o:ole="" fillcolor="window">
            <v:imagedata r:id="rId82" o:title=""/>
          </v:shape>
          <o:OLEObject Type="Embed" ProgID="Equation.3" ShapeID="_x0000_i1065" DrawAspect="Content" ObjectID="_1472132758" r:id="rId83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Заменив </w:t>
      </w:r>
      <w:r w:rsidRPr="006C1AFE">
        <w:rPr>
          <w:position w:val="-10"/>
          <w:sz w:val="28"/>
        </w:rPr>
        <w:object w:dxaOrig="260" w:dyaOrig="340">
          <v:shape id="_x0000_i1066" type="#_x0000_t75" style="width:15pt;height:19.5pt" o:ole="" fillcolor="window">
            <v:imagedata r:id="rId84" o:title=""/>
          </v:shape>
          <o:OLEObject Type="Embed" ProgID="Equation.3" ShapeID="_x0000_i1066" DrawAspect="Content" ObjectID="_1472132759" r:id="rId85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</w:t>
      </w:r>
      <w:r w:rsidRPr="006C1AFE">
        <w:rPr>
          <w:position w:val="-12"/>
          <w:sz w:val="28"/>
        </w:rPr>
        <w:object w:dxaOrig="260" w:dyaOrig="360">
          <v:shape id="_x0000_i1067" type="#_x0000_t75" style="width:15pt;height:21pt" o:ole="" fillcolor="window">
            <v:imagedata r:id="rId86" o:title=""/>
          </v:shape>
          <o:OLEObject Type="Embed" ProgID="Equation.3" ShapeID="_x0000_i1067" DrawAspect="Content" ObjectID="_1472132760" r:id="rId87"/>
        </w:object>
      </w:r>
      <w:r>
        <w:rPr>
          <w:sz w:val="28"/>
        </w:rPr>
        <w:t xml:space="preserve"> в выражении для площади, получим </w:t>
      </w:r>
    </w:p>
    <w:p w:rsidR="00EA4314" w:rsidRDefault="00EA4314" w:rsidP="00EA4314">
      <w:pPr>
        <w:spacing w:line="360" w:lineRule="auto"/>
        <w:ind w:left="2880" w:firstLine="720"/>
        <w:jc w:val="both"/>
        <w:rPr>
          <w:sz w:val="28"/>
        </w:rPr>
      </w:pPr>
      <w:r w:rsidRPr="006C1AFE">
        <w:rPr>
          <w:position w:val="-32"/>
          <w:sz w:val="28"/>
        </w:rPr>
        <w:object w:dxaOrig="1860" w:dyaOrig="760">
          <v:shape id="_x0000_i1068" type="#_x0000_t75" style="width:93pt;height:38.25pt" o:ole="" fillcolor="window">
            <v:imagedata r:id="rId88" o:title=""/>
          </v:shape>
          <o:OLEObject Type="Embed" ProgID="Equation.3" ShapeID="_x0000_i1068" DrawAspect="Content" ObjectID="_1472132761" r:id="rId89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Увеличение удельной мощности рассеяния </w:t>
      </w:r>
      <w:r w:rsidRPr="006C1AFE">
        <w:rPr>
          <w:position w:val="-10"/>
          <w:sz w:val="28"/>
        </w:rPr>
        <w:object w:dxaOrig="320" w:dyaOrig="340">
          <v:shape id="_x0000_i1069" type="#_x0000_t75" style="width:18pt;height:19.5pt" o:ole="" fillcolor="window">
            <v:imagedata r:id="rId90" o:title=""/>
          </v:shape>
          <o:OLEObject Type="Embed" ProgID="Equation.3" ShapeID="_x0000_i1069" DrawAspect="Content" ObjectID="_1472132762" r:id="rId91"/>
        </w:object>
      </w:r>
      <w:r>
        <w:rPr>
          <w:sz w:val="28"/>
        </w:rPr>
        <w:t xml:space="preserve"> за счет перехода от кубической формы блока к панельной будет равно увеличению площади теплоотдачи этих форм, т.е.</w:t>
      </w:r>
    </w:p>
    <w:p w:rsidR="00EA4314" w:rsidRDefault="00EA4314" w:rsidP="00EA4314">
      <w:pPr>
        <w:ind w:left="2880" w:firstLine="720"/>
        <w:jc w:val="both"/>
        <w:rPr>
          <w:sz w:val="28"/>
        </w:rPr>
      </w:pPr>
      <w:r w:rsidRPr="006C1AFE">
        <w:rPr>
          <w:position w:val="-36"/>
          <w:sz w:val="28"/>
        </w:rPr>
        <w:object w:dxaOrig="2920" w:dyaOrig="840">
          <v:shape id="_x0000_i1070" type="#_x0000_t75" style="width:146.25pt;height:42pt" o:ole="" fillcolor="window">
            <v:imagedata r:id="rId92" o:title=""/>
          </v:shape>
          <o:OLEObject Type="Embed" ProgID="Equation.3" ShapeID="_x0000_i1070" DrawAspect="Content" ObjectID="_1472132763" r:id="rId93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  <w:t xml:space="preserve">   (2.2)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По этой формуле получена зависимость выигрыша в удельной мощности рассеяния (если ее вариация </w:t>
      </w:r>
      <w:r w:rsidRPr="006C1AFE">
        <w:rPr>
          <w:position w:val="-10"/>
          <w:sz w:val="28"/>
        </w:rPr>
        <w:object w:dxaOrig="320" w:dyaOrig="340">
          <v:shape id="_x0000_i1071" type="#_x0000_t75" style="width:18pt;height:19.5pt" o:ole="" fillcolor="window">
            <v:imagedata r:id="rId90" o:title=""/>
          </v:shape>
          <o:OLEObject Type="Embed" ProgID="Equation.3" ShapeID="_x0000_i1071" DrawAspect="Content" ObjectID="_1472132764" r:id="rId94"/>
        </w:object>
      </w:r>
      <w:r>
        <w:rPr>
          <w:sz w:val="28"/>
        </w:rPr>
        <w:t>) от степени планарности формы блоков РЭА</w:t>
      </w:r>
    </w:p>
    <w:p w:rsidR="00EA4314" w:rsidRDefault="00EA4314" w:rsidP="00EA4314">
      <w:pPr>
        <w:spacing w:line="360" w:lineRule="auto"/>
        <w:ind w:firstLine="720"/>
        <w:jc w:val="both"/>
        <w:rPr>
          <w:b/>
          <w:sz w:val="28"/>
        </w:rPr>
      </w:pPr>
    </w:p>
    <w:p w:rsidR="00EA4314" w:rsidRDefault="00EA4314" w:rsidP="00EA4314">
      <w:pPr>
        <w:spacing w:line="360" w:lineRule="auto"/>
        <w:ind w:firstLine="720"/>
        <w:jc w:val="both"/>
        <w:rPr>
          <w:b/>
          <w:sz w:val="28"/>
        </w:rPr>
      </w:pPr>
      <w:r>
        <w:rPr>
          <w:b/>
          <w:sz w:val="28"/>
        </w:rPr>
        <w:t>Пример расчета допустимых габаритов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>2.3.1</w:t>
      </w:r>
      <w:proofErr w:type="gramStart"/>
      <w:r>
        <w:rPr>
          <w:sz w:val="28"/>
        </w:rPr>
        <w:t xml:space="preserve"> Т</w:t>
      </w:r>
      <w:proofErr w:type="gramEnd"/>
      <w:r>
        <w:rPr>
          <w:sz w:val="28"/>
        </w:rPr>
        <w:t xml:space="preserve">ребуется найти минимально допустимые габариты блока, если известно, что </w:t>
      </w:r>
      <w:r w:rsidRPr="006C1AFE">
        <w:rPr>
          <w:position w:val="-10"/>
          <w:sz w:val="28"/>
        </w:rPr>
        <w:object w:dxaOrig="660" w:dyaOrig="340">
          <v:shape id="_x0000_i1072" type="#_x0000_t75" style="width:37.5pt;height:19.5pt" o:ole="" fillcolor="window">
            <v:imagedata r:id="rId95" o:title=""/>
          </v:shape>
          <o:OLEObject Type="Embed" ProgID="Equation.3" ShapeID="_x0000_i1072" DrawAspect="Content" ObjectID="_1472132765" r:id="rId96"/>
        </w:object>
      </w:r>
      <w:r>
        <w:rPr>
          <w:sz w:val="28"/>
        </w:rPr>
        <w:t xml:space="preserve">, </w:t>
      </w:r>
      <w:r w:rsidRPr="006C1AFE">
        <w:rPr>
          <w:position w:val="-6"/>
          <w:sz w:val="28"/>
        </w:rPr>
        <w:object w:dxaOrig="1060" w:dyaOrig="320">
          <v:shape id="_x0000_i1073" type="#_x0000_t75" style="width:60.75pt;height:18pt" o:ole="" fillcolor="window">
            <v:imagedata r:id="rId97" o:title=""/>
          </v:shape>
          <o:OLEObject Type="Embed" ProgID="Equation.3" ShapeID="_x0000_i1073" DrawAspect="Content" ObjectID="_1472132766" r:id="rId98"/>
        </w:object>
      </w:r>
      <w:r>
        <w:rPr>
          <w:sz w:val="28"/>
        </w:rPr>
        <w:t xml:space="preserve"> при </w:t>
      </w:r>
      <w:r w:rsidRPr="006C1AFE">
        <w:rPr>
          <w:position w:val="-12"/>
          <w:sz w:val="28"/>
        </w:rPr>
        <w:object w:dxaOrig="1160" w:dyaOrig="380">
          <v:shape id="_x0000_i1074" type="#_x0000_t75" style="width:66.75pt;height:21.75pt" o:ole="" fillcolor="window">
            <v:imagedata r:id="rId99" o:title=""/>
          </v:shape>
          <o:OLEObject Type="Embed" ProgID="Equation.3" ShapeID="_x0000_i1074" DrawAspect="Content" ObjectID="_1472132767" r:id="rId100"/>
        </w:object>
      </w:r>
      <w:r>
        <w:rPr>
          <w:sz w:val="28"/>
        </w:rPr>
        <w:t xml:space="preserve">, </w:t>
      </w:r>
      <w:r w:rsidRPr="006C1AFE">
        <w:rPr>
          <w:position w:val="-12"/>
          <w:sz w:val="28"/>
        </w:rPr>
        <w:object w:dxaOrig="2600" w:dyaOrig="380">
          <v:shape id="_x0000_i1075" type="#_x0000_t75" style="width:150pt;height:21.75pt" o:ole="" fillcolor="window">
            <v:imagedata r:id="rId101" o:title=""/>
          </v:shape>
          <o:OLEObject Type="Embed" ProgID="Equation.3" ShapeID="_x0000_i1075" DrawAspect="Content" ObjectID="_1472132768" r:id="rId102"/>
        </w:object>
      </w:r>
      <w:r>
        <w:rPr>
          <w:sz w:val="28"/>
        </w:rPr>
        <w:t xml:space="preserve">, </w:t>
      </w:r>
      <w:r w:rsidRPr="006C1AFE">
        <w:rPr>
          <w:position w:val="-12"/>
          <w:sz w:val="28"/>
        </w:rPr>
        <w:object w:dxaOrig="1120" w:dyaOrig="360">
          <v:shape id="_x0000_i1076" type="#_x0000_t75" style="width:65.25pt;height:21pt" o:ole="" fillcolor="window">
            <v:imagedata r:id="rId103" o:title=""/>
          </v:shape>
          <o:OLEObject Type="Embed" ProgID="Equation.3" ShapeID="_x0000_i1076" DrawAspect="Content" ObjectID="_1472132769" r:id="rId104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Принимаем, что 80% потребляемой мощности рассеяния переходит в те</w:t>
      </w:r>
      <w:r>
        <w:rPr>
          <w:sz w:val="28"/>
        </w:rPr>
        <w:softHyphen/>
        <w:t xml:space="preserve">пловую энергию, или </w:t>
      </w:r>
      <w:r w:rsidRPr="006C1AFE">
        <w:rPr>
          <w:position w:val="-14"/>
          <w:sz w:val="28"/>
        </w:rPr>
        <w:object w:dxaOrig="1340" w:dyaOrig="380">
          <v:shape id="_x0000_i1077" type="#_x0000_t75" style="width:76.5pt;height:21.75pt" o:ole="" fillcolor="window">
            <v:imagedata r:id="rId105" o:title=""/>
          </v:shape>
          <o:OLEObject Type="Embed" ProgID="Equation.3" ShapeID="_x0000_i1077" DrawAspect="Content" ObjectID="_1472132770" r:id="rId106"/>
        </w:object>
      </w:r>
      <w:r>
        <w:rPr>
          <w:sz w:val="28"/>
        </w:rPr>
        <w:t>. Определим допустимую мощность рассея</w:t>
      </w:r>
      <w:r>
        <w:rPr>
          <w:sz w:val="28"/>
        </w:rPr>
        <w:softHyphen/>
        <w:t xml:space="preserve">ния для блока кубической формы. По формуле (2.2)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</w:t>
      </w:r>
      <w:r w:rsidRPr="006C1AFE">
        <w:rPr>
          <w:position w:val="-10"/>
          <w:sz w:val="28"/>
        </w:rPr>
        <w:object w:dxaOrig="660" w:dyaOrig="340">
          <v:shape id="_x0000_i1078" type="#_x0000_t75" style="width:37.5pt;height:19.5pt" o:ole="" fillcolor="window">
            <v:imagedata r:id="rId95" o:title=""/>
          </v:shape>
          <o:OLEObject Type="Embed" ProgID="Equation.3" ShapeID="_x0000_i1078" DrawAspect="Content" ObjectID="_1472132771" r:id="rId107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находим</w:t>
      </w:r>
      <w:proofErr w:type="gramEnd"/>
      <w:r>
        <w:rPr>
          <w:sz w:val="28"/>
        </w:rPr>
        <w:t xml:space="preserve"> </w:t>
      </w:r>
      <w:r w:rsidRPr="006C1AFE">
        <w:rPr>
          <w:position w:val="-10"/>
          <w:sz w:val="28"/>
        </w:rPr>
        <w:object w:dxaOrig="980" w:dyaOrig="340">
          <v:shape id="_x0000_i1079" type="#_x0000_t75" style="width:56.25pt;height:19.5pt" o:ole="" fillcolor="window">
            <v:imagedata r:id="rId108" o:title=""/>
          </v:shape>
          <o:OLEObject Type="Embed" ProgID="Equation.3" ShapeID="_x0000_i1079" DrawAspect="Content" ObjectID="_1472132772" r:id="rId109"/>
        </w:object>
      </w:r>
      <w:r>
        <w:rPr>
          <w:sz w:val="28"/>
        </w:rPr>
        <w:t xml:space="preserve">, тогда </w:t>
      </w:r>
      <w:r w:rsidRPr="006C1AFE">
        <w:rPr>
          <w:position w:val="-14"/>
          <w:sz w:val="28"/>
        </w:rPr>
        <w:object w:dxaOrig="2360" w:dyaOrig="380">
          <v:shape id="_x0000_i1080" type="#_x0000_t75" style="width:135.75pt;height:21.75pt" o:ole="" fillcolor="window">
            <v:imagedata r:id="rId110" o:title=""/>
          </v:shape>
          <o:OLEObject Type="Embed" ProgID="Equation.3" ShapeID="_x0000_i1080" DrawAspect="Content" ObjectID="_1472132773" r:id="rId111"/>
        </w:object>
      </w:r>
      <w:r>
        <w:rPr>
          <w:sz w:val="28"/>
        </w:rPr>
        <w:t xml:space="preserve">. Удельная мощность рассеяния в блоке </w:t>
      </w:r>
      <w:r w:rsidRPr="006C1AFE">
        <w:rPr>
          <w:position w:val="-14"/>
          <w:sz w:val="28"/>
        </w:rPr>
        <w:object w:dxaOrig="1440" w:dyaOrig="380">
          <v:shape id="_x0000_i1081" type="#_x0000_t75" style="width:82.5pt;height:21.75pt" o:ole="" fillcolor="window">
            <v:imagedata r:id="rId112" o:title=""/>
          </v:shape>
          <o:OLEObject Type="Embed" ProgID="Equation.3" ShapeID="_x0000_i1081" DrawAspect="Content" ObjectID="_1472132774" r:id="rId113"/>
        </w:object>
      </w:r>
      <w:r>
        <w:rPr>
          <w:sz w:val="28"/>
        </w:rPr>
        <w:t>. Допустимая удельная мощность рассеяния</w:t>
      </w:r>
    </w:p>
    <w:p w:rsidR="00EA4314" w:rsidRDefault="00EA4314" w:rsidP="00EA4314">
      <w:pPr>
        <w:spacing w:line="360" w:lineRule="auto"/>
        <w:ind w:left="2160" w:firstLine="720"/>
        <w:jc w:val="both"/>
        <w:rPr>
          <w:sz w:val="28"/>
        </w:rPr>
      </w:pPr>
      <w:r w:rsidRPr="006C1AFE">
        <w:rPr>
          <w:position w:val="-14"/>
          <w:sz w:val="28"/>
        </w:rPr>
        <w:object w:dxaOrig="2380" w:dyaOrig="380">
          <v:shape id="_x0000_i1082" type="#_x0000_t75" style="width:130.5pt;height:21pt" o:ole="" fillcolor="window">
            <v:imagedata r:id="rId114" o:title=""/>
          </v:shape>
          <o:OLEObject Type="Embed" ProgID="Equation.3" ShapeID="_x0000_i1082" DrawAspect="Content" ObjectID="_1472132775" r:id="rId115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Методом последовательных приближений находим, что для выполнения условия </w:t>
      </w:r>
      <w:r w:rsidRPr="006C1AFE">
        <w:rPr>
          <w:position w:val="-14"/>
          <w:sz w:val="28"/>
        </w:rPr>
        <w:object w:dxaOrig="1820" w:dyaOrig="380">
          <v:shape id="_x0000_i1083" type="#_x0000_t75" style="width:104.25pt;height:21.75pt" o:ole="" fillcolor="window">
            <v:imagedata r:id="rId116" o:title=""/>
          </v:shape>
          <o:OLEObject Type="Embed" ProgID="Equation.3" ShapeID="_x0000_i1083" DrawAspect="Content" ObjectID="_1472132776" r:id="rId117"/>
        </w:object>
      </w:r>
      <w:r>
        <w:rPr>
          <w:sz w:val="28"/>
        </w:rPr>
        <w:t xml:space="preserve"> необходим объем </w:t>
      </w:r>
      <w:r w:rsidRPr="006C1AFE">
        <w:rPr>
          <w:position w:val="-10"/>
          <w:sz w:val="28"/>
        </w:rPr>
        <w:object w:dxaOrig="1320" w:dyaOrig="360">
          <v:shape id="_x0000_i1084" type="#_x0000_t75" style="width:76.5pt;height:21pt" o:ole="" fillcolor="window">
            <v:imagedata r:id="rId118" o:title=""/>
          </v:shape>
          <o:OLEObject Type="Embed" ProgID="Equation.3" ShapeID="_x0000_i1084" DrawAspect="Content" ObjectID="_1472132777" r:id="rId119"/>
        </w:object>
      </w:r>
      <w:r>
        <w:rPr>
          <w:sz w:val="28"/>
        </w:rPr>
        <w:t xml:space="preserve">, при котором </w:t>
      </w:r>
      <w:r w:rsidRPr="006C1AFE">
        <w:rPr>
          <w:position w:val="-10"/>
          <w:sz w:val="28"/>
        </w:rPr>
        <w:object w:dxaOrig="1560" w:dyaOrig="340">
          <v:shape id="_x0000_i1085" type="#_x0000_t75" style="width:90pt;height:19.5pt" o:ole="" fillcolor="window">
            <v:imagedata r:id="rId120" o:title=""/>
          </v:shape>
          <o:OLEObject Type="Embed" ProgID="Equation.3" ShapeID="_x0000_i1085" DrawAspect="Content" ObjectID="_1472132778" r:id="rId121"/>
        </w:object>
      </w:r>
      <w:r>
        <w:rPr>
          <w:sz w:val="28"/>
        </w:rPr>
        <w:t xml:space="preserve"> и </w:t>
      </w:r>
      <w:r w:rsidRPr="006C1AFE">
        <w:rPr>
          <w:position w:val="-14"/>
          <w:sz w:val="28"/>
        </w:rPr>
        <w:object w:dxaOrig="2280" w:dyaOrig="400">
          <v:shape id="_x0000_i1086" type="#_x0000_t75" style="width:131.25pt;height:23.25pt" o:ole="" fillcolor="window">
            <v:imagedata r:id="rId122" o:title=""/>
          </v:shape>
          <o:OLEObject Type="Embed" ProgID="Equation.3" ShapeID="_x0000_i1086" DrawAspect="Content" ObjectID="_1472132779" r:id="rId123"/>
        </w:object>
      </w:r>
      <w:r>
        <w:rPr>
          <w:sz w:val="28"/>
        </w:rPr>
        <w:t>.</w:t>
      </w:r>
    </w:p>
    <w:p w:rsidR="00EA4314" w:rsidRDefault="00EA4314" w:rsidP="00EA4314">
      <w:pPr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 xml:space="preserve">Сторона куба равна </w:t>
      </w:r>
      <w:r w:rsidRPr="006C1AFE">
        <w:rPr>
          <w:position w:val="-12"/>
          <w:sz w:val="28"/>
        </w:rPr>
        <w:object w:dxaOrig="2640" w:dyaOrig="400">
          <v:shape id="_x0000_i1087" type="#_x0000_t75" style="width:152.25pt;height:23.25pt" o:ole="" fillcolor="window">
            <v:imagedata r:id="rId124" o:title=""/>
          </v:shape>
          <o:OLEObject Type="Embed" ProgID="Equation.3" ShapeID="_x0000_i1087" DrawAspect="Content" ObjectID="_1472132780" r:id="rId125"/>
        </w:object>
      </w:r>
      <w:r>
        <w:rPr>
          <w:sz w:val="28"/>
        </w:rPr>
        <w:t xml:space="preserve">. Высота блока </w:t>
      </w:r>
      <w:r w:rsidRPr="006C1AFE">
        <w:rPr>
          <w:position w:val="-12"/>
          <w:sz w:val="28"/>
        </w:rPr>
        <w:object w:dxaOrig="1880" w:dyaOrig="360">
          <v:shape id="_x0000_i1088" type="#_x0000_t75" style="width:108.75pt;height:21pt" o:ole="" fillcolor="window">
            <v:imagedata r:id="rId126" o:title=""/>
          </v:shape>
          <o:OLEObject Type="Embed" ProgID="Equation.3" ShapeID="_x0000_i1088" DrawAspect="Content" ObjectID="_1472132781" r:id="rId127"/>
        </w:object>
      </w:r>
      <w:r>
        <w:rPr>
          <w:sz w:val="28"/>
        </w:rPr>
        <w:t xml:space="preserve">, а сторона блока </w:t>
      </w:r>
      <w:r w:rsidRPr="006C1AFE">
        <w:rPr>
          <w:position w:val="-14"/>
          <w:sz w:val="28"/>
        </w:rPr>
        <w:object w:dxaOrig="3120" w:dyaOrig="420">
          <v:shape id="_x0000_i1089" type="#_x0000_t75" style="width:179.25pt;height:24pt" o:ole="" fillcolor="window">
            <v:imagedata r:id="rId128" o:title=""/>
          </v:shape>
          <o:OLEObject Type="Embed" ProgID="Equation.3" ShapeID="_x0000_i1089" DrawAspect="Content" ObjectID="_1472132782" r:id="rId129"/>
        </w:object>
      </w:r>
      <w:r>
        <w:rPr>
          <w:sz w:val="28"/>
        </w:rPr>
        <w:t xml:space="preserve">. Искомые (минимально допустимые) габариты блока: </w:t>
      </w:r>
      <w:r w:rsidRPr="006C1AFE">
        <w:rPr>
          <w:position w:val="-6"/>
          <w:sz w:val="28"/>
        </w:rPr>
        <w:object w:dxaOrig="1700" w:dyaOrig="279">
          <v:shape id="_x0000_i1090" type="#_x0000_t75" style="width:97.5pt;height:15.75pt" o:ole="" fillcolor="window">
            <v:imagedata r:id="rId130" o:title=""/>
          </v:shape>
          <o:OLEObject Type="Embed" ProgID="Equation.3" ShapeID="_x0000_i1090" DrawAspect="Content" ObjectID="_1472132783" r:id="rId131"/>
        </w:object>
      </w:r>
      <w:r>
        <w:rPr>
          <w:sz w:val="28"/>
        </w:rPr>
        <w:t xml:space="preserve">. При наличии унифицированных типоразмеров блоков выбирается ближайший типоразмер, при этом стороны верхней грани могут корректироваться таким образом, чтобы площадь оставалась примерно постоянной; например, размеры </w:t>
      </w:r>
      <w:r w:rsidRPr="006C1AFE">
        <w:rPr>
          <w:position w:val="-6"/>
          <w:sz w:val="28"/>
        </w:rPr>
        <w:object w:dxaOrig="1260" w:dyaOrig="279">
          <v:shape id="_x0000_i1091" type="#_x0000_t75" style="width:1in;height:15.75pt" o:ole="" fillcolor="window">
            <v:imagedata r:id="rId132" o:title=""/>
          </v:shape>
          <o:OLEObject Type="Embed" ProgID="Equation.3" ShapeID="_x0000_i1091" DrawAspect="Content" ObjectID="_1472132784" r:id="rId133"/>
        </w:object>
      </w:r>
      <w:r>
        <w:rPr>
          <w:sz w:val="28"/>
        </w:rPr>
        <w:t xml:space="preserve"> могут быть заменены на </w:t>
      </w:r>
      <w:r w:rsidRPr="006C1AFE">
        <w:rPr>
          <w:position w:val="-6"/>
          <w:sz w:val="28"/>
        </w:rPr>
        <w:object w:dxaOrig="1200" w:dyaOrig="279">
          <v:shape id="_x0000_i1092" type="#_x0000_t75" style="width:68.25pt;height:15.75pt" o:ole="" fillcolor="window">
            <v:imagedata r:id="rId134" o:title=""/>
          </v:shape>
          <o:OLEObject Type="Embed" ProgID="Equation.3" ShapeID="_x0000_i1092" DrawAspect="Content" ObjectID="_1472132785" r:id="rId135"/>
        </w:object>
      </w:r>
      <w:r>
        <w:rPr>
          <w:sz w:val="28"/>
        </w:rPr>
        <w:t xml:space="preserve">. Это возможно по той причине, что результаты по расчету </w:t>
      </w:r>
      <w:r w:rsidRPr="006C1AFE">
        <w:rPr>
          <w:position w:val="-10"/>
          <w:sz w:val="28"/>
        </w:rPr>
        <w:object w:dxaOrig="320" w:dyaOrig="340">
          <v:shape id="_x0000_i1093" type="#_x0000_t75" style="width:18pt;height:19.5pt" o:ole="" fillcolor="window">
            <v:imagedata r:id="rId90" o:title=""/>
          </v:shape>
          <o:OLEObject Type="Embed" ProgID="Equation.3" ShapeID="_x0000_i1093" DrawAspect="Content" ObjectID="_1472132786" r:id="rId136"/>
        </w:object>
      </w:r>
      <w:r>
        <w:rPr>
          <w:sz w:val="28"/>
        </w:rPr>
        <w:t xml:space="preserve"> для панелей квадратной и прямоугольной форм мало различаются между собой.</w:t>
      </w:r>
    </w:p>
    <w:p w:rsidR="00EA4314" w:rsidRDefault="00EA4314" w:rsidP="00EA4314">
      <w:pPr>
        <w:spacing w:line="360" w:lineRule="auto"/>
        <w:rPr>
          <w:sz w:val="28"/>
        </w:rPr>
      </w:pPr>
      <w:r>
        <w:rPr>
          <w:sz w:val="28"/>
        </w:rPr>
        <w:tab/>
      </w:r>
    </w:p>
    <w:sectPr w:rsidR="00EA4314" w:rsidSect="006C1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4314"/>
    <w:rsid w:val="00411583"/>
    <w:rsid w:val="006C1AFE"/>
    <w:rsid w:val="00BD66C8"/>
    <w:rsid w:val="00EA4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FE"/>
  </w:style>
  <w:style w:type="paragraph" w:styleId="1">
    <w:name w:val="heading 1"/>
    <w:basedOn w:val="a"/>
    <w:next w:val="a"/>
    <w:link w:val="10"/>
    <w:qFormat/>
    <w:rsid w:val="00EA4314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A4314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4314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A4314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63" Type="http://schemas.openxmlformats.org/officeDocument/2006/relationships/oleObject" Target="embeddings/oleObject31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4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7.bin"/><Relationship Id="rId138" Type="http://schemas.openxmlformats.org/officeDocument/2006/relationships/theme" Target="theme/theme1.xml"/><Relationship Id="rId16" Type="http://schemas.openxmlformats.org/officeDocument/2006/relationships/image" Target="media/image7.wmf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9.bin"/><Relationship Id="rId102" Type="http://schemas.openxmlformats.org/officeDocument/2006/relationships/oleObject" Target="embeddings/oleObject51.bin"/><Relationship Id="rId123" Type="http://schemas.openxmlformats.org/officeDocument/2006/relationships/oleObject" Target="embeddings/oleObject62.bin"/><Relationship Id="rId128" Type="http://schemas.openxmlformats.org/officeDocument/2006/relationships/image" Target="media/image61.wmf"/><Relationship Id="rId5" Type="http://schemas.openxmlformats.org/officeDocument/2006/relationships/oleObject" Target="embeddings/oleObject1.bin"/><Relationship Id="rId90" Type="http://schemas.openxmlformats.org/officeDocument/2006/relationships/image" Target="media/image43.wmf"/><Relationship Id="rId95" Type="http://schemas.openxmlformats.org/officeDocument/2006/relationships/image" Target="media/image45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50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6.wmf"/><Relationship Id="rId126" Type="http://schemas.openxmlformats.org/officeDocument/2006/relationships/image" Target="media/image60.wmf"/><Relationship Id="rId134" Type="http://schemas.openxmlformats.org/officeDocument/2006/relationships/image" Target="media/image64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6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103" Type="http://schemas.openxmlformats.org/officeDocument/2006/relationships/image" Target="media/image49.wmf"/><Relationship Id="rId108" Type="http://schemas.openxmlformats.org/officeDocument/2006/relationships/image" Target="media/image51.wmf"/><Relationship Id="rId116" Type="http://schemas.openxmlformats.org/officeDocument/2006/relationships/image" Target="media/image55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5.bin"/><Relationship Id="rId137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6.bin"/><Relationship Id="rId132" Type="http://schemas.openxmlformats.org/officeDocument/2006/relationships/image" Target="media/image6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3.wmf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3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60.bin"/><Relationship Id="rId127" Type="http://schemas.openxmlformats.org/officeDocument/2006/relationships/oleObject" Target="embeddings/oleObject64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7.wmf"/><Relationship Id="rId81" Type="http://schemas.openxmlformats.org/officeDocument/2006/relationships/oleObject" Target="embeddings/oleObject40.bin"/><Relationship Id="rId86" Type="http://schemas.openxmlformats.org/officeDocument/2006/relationships/image" Target="media/image41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120" Type="http://schemas.openxmlformats.org/officeDocument/2006/relationships/image" Target="media/image57.wmf"/><Relationship Id="rId125" Type="http://schemas.openxmlformats.org/officeDocument/2006/relationships/oleObject" Target="embeddings/oleObject63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5.bin"/><Relationship Id="rId92" Type="http://schemas.openxmlformats.org/officeDocument/2006/relationships/image" Target="media/image44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8.bin"/><Relationship Id="rId131" Type="http://schemas.openxmlformats.org/officeDocument/2006/relationships/oleObject" Target="embeddings/oleObject66.bin"/><Relationship Id="rId136" Type="http://schemas.openxmlformats.org/officeDocument/2006/relationships/oleObject" Target="embeddings/oleObject69.bin"/><Relationship Id="rId61" Type="http://schemas.openxmlformats.org/officeDocument/2006/relationships/oleObject" Target="embeddings/oleObject30.bin"/><Relationship Id="rId82" Type="http://schemas.openxmlformats.org/officeDocument/2006/relationships/image" Target="media/image39.w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1010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2014-01-24T10:27:00Z</dcterms:created>
  <dcterms:modified xsi:type="dcterms:W3CDTF">2014-09-13T10:55:00Z</dcterms:modified>
</cp:coreProperties>
</file>